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A87F4" w14:textId="77777777" w:rsidR="00CE3A46" w:rsidRPr="00CE3A46" w:rsidRDefault="00CE3A46" w:rsidP="0055697D">
      <w:pPr>
        <w:spacing w:after="150" w:line="240" w:lineRule="auto"/>
        <w:jc w:val="both"/>
        <w:outlineLvl w:val="1"/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</w:pPr>
      <w:bookmarkStart w:id="0" w:name="zralost1"/>
      <w:bookmarkStart w:id="1" w:name="_GoBack"/>
      <w:bookmarkEnd w:id="0"/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1. Tělesná vyspělost a zdraví</w:t>
      </w:r>
    </w:p>
    <w:p w14:paraId="542E6FDC" w14:textId="77777777" w:rsidR="00CE3A46" w:rsidRPr="00CE3A46" w:rsidRDefault="00CE3A46" w:rsidP="0055697D">
      <w:pPr>
        <w:spacing w:after="150" w:line="240" w:lineRule="auto"/>
        <w:jc w:val="both"/>
        <w:rPr>
          <w:rFonts w:eastAsia="Times New Roman" w:cstheme="minorHAnsi"/>
          <w:color w:val="2C2C2C"/>
          <w:sz w:val="28"/>
          <w:szCs w:val="28"/>
          <w:lang w:eastAsia="cs-CZ"/>
        </w:rPr>
      </w:pP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Tělesně vyspělé dítě je odolnější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, lépe se přizpůsobí zvyšujícím se nárokům, lépe se adaptuje. Nástup do školy je jednoznačně vhodné zvážit u dětí s vývojovým opožděním (děti předčasně narozené, s pozdním nástupem řeči, opožděným motorickým vývojem, děti hyperaktivní a </w:t>
      </w:r>
      <w:proofErr w:type="spellStart"/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>instabilní</w:t>
      </w:r>
      <w:proofErr w:type="spellEnd"/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). Důležitá je také 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míra nemocnosti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 – často nemocné dítě vypadá z kolektivu, stále se musí znovu začleňovat, adaptovat se na změny, nestíhá sledovat učivo, látku pak musí dohánět doma s rodiči, což mu znesnadňuje jeho zařazení i přirozený rozvoj schopností.</w:t>
      </w:r>
    </w:p>
    <w:p w14:paraId="14862B0F" w14:textId="77777777" w:rsidR="00CE3A46" w:rsidRPr="00CE3A46" w:rsidRDefault="00CE3A46" w:rsidP="0055697D">
      <w:pPr>
        <w:spacing w:after="0" w:line="240" w:lineRule="auto"/>
        <w:jc w:val="both"/>
        <w:rPr>
          <w:rFonts w:eastAsia="Times New Roman" w:cstheme="minorHAnsi"/>
          <w:color w:val="2C2C2C"/>
          <w:sz w:val="28"/>
          <w:szCs w:val="28"/>
          <w:lang w:eastAsia="cs-CZ"/>
        </w:rPr>
      </w:pP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Nutné je zvážit jeho 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tělesnou konstituci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 – váhu i výšku – vždy však v kontextu konstituce rodičů. Drobní rodiče budou mít pravděpodobně drobnějšího předškoláka a nemusí to být otázka tělesné nevyzrálosti.</w:t>
      </w:r>
    </w:p>
    <w:p w14:paraId="7A2E93A5" w14:textId="77777777" w:rsidR="00CE3A46" w:rsidRPr="00CE3A46" w:rsidRDefault="00CE3A46" w:rsidP="0055697D">
      <w:pPr>
        <w:spacing w:before="300" w:after="150" w:line="240" w:lineRule="auto"/>
        <w:jc w:val="both"/>
        <w:outlineLvl w:val="1"/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</w:pPr>
      <w:bookmarkStart w:id="2" w:name="zralost2"/>
      <w:bookmarkEnd w:id="2"/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2. Motorická obratnost</w:t>
      </w:r>
    </w:p>
    <w:p w14:paraId="67E31FCB" w14:textId="77777777" w:rsidR="00CE3A46" w:rsidRPr="00CE3A46" w:rsidRDefault="00CE3A46" w:rsidP="0055697D">
      <w:pPr>
        <w:spacing w:after="150" w:line="240" w:lineRule="auto"/>
        <w:jc w:val="both"/>
        <w:rPr>
          <w:rFonts w:eastAsia="Times New Roman" w:cstheme="minorHAnsi"/>
          <w:color w:val="2C2C2C"/>
          <w:sz w:val="28"/>
          <w:szCs w:val="28"/>
          <w:lang w:eastAsia="cs-CZ"/>
        </w:rPr>
      </w:pP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Do této oblasti patří celková tělesná obratnost - 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hrubá motorika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, kterou mohou rodiče snadno sledovat doma i na hřišti (běh, skok, chůze po schodech, zdolávání překážek, koordinace končetin, rovnováha, hra s </w:t>
      </w:r>
      <w:proofErr w:type="gramStart"/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>míčem,…</w:t>
      </w:r>
      <w:proofErr w:type="gramEnd"/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), dále pak obratnost rukou - 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jemná motorika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, např. při práci s plastelínou, navlékání korálků, stříhání, lepení, hra s kostkami a stavebnicemi, používání různých nástrojů, zapínání zipu a knoflíků, případně zavázání tkaniček a 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grafomotorika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, tedy práce s tužkou. 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Dítě by mělo ovládat čáru a její směr (součinnost ruky a oka) a správný úchop tužky. Zápěstí by mělo být dostatečně uvolněné, pohyb plynulý.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 Dítě by mělo mít o kresbu zájem, mělo by spontánně a tvořivě kreslit, vybarvovat a respektovat hranice čáry, příliš nepřetahovat, nakreslit základní kresbičky jako např. mámu, tátu, sluníčko, domeček, podle předlohy nakreslit základní geometrické tvary, napodobit tiskací písmena, spojit dva body souvislou čarou svisle i vodorovně.</w:t>
      </w:r>
    </w:p>
    <w:p w14:paraId="0F479C85" w14:textId="77777777" w:rsidR="00CE3A46" w:rsidRPr="00CE3A46" w:rsidRDefault="00CE3A46" w:rsidP="0055697D">
      <w:pPr>
        <w:spacing w:after="150" w:line="240" w:lineRule="auto"/>
        <w:jc w:val="both"/>
        <w:rPr>
          <w:rFonts w:eastAsia="Times New Roman" w:cstheme="minorHAnsi"/>
          <w:color w:val="2C2C2C"/>
          <w:sz w:val="28"/>
          <w:szCs w:val="28"/>
          <w:lang w:eastAsia="cs-CZ"/>
        </w:rPr>
      </w:pP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Pokud má dítě tendenci ruce v činnostech střídat a není zcela jasné, která ruka je dominantní, je nutné včas rozhodnout, kterou rukou dítě bude v 1. třídě psát, zjistit tzv. 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lateralitu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. Žádoucí je v tomto případě 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konzultace s odborníkem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>, a to i v případě, že nezvažujete odklad školní docházky.</w:t>
      </w:r>
    </w:p>
    <w:p w14:paraId="494C51C3" w14:textId="77777777" w:rsidR="00CE3A46" w:rsidRPr="00CE3A46" w:rsidRDefault="00CE3A46" w:rsidP="0055697D">
      <w:pPr>
        <w:spacing w:before="300" w:after="150" w:line="240" w:lineRule="auto"/>
        <w:jc w:val="both"/>
        <w:outlineLvl w:val="1"/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</w:pPr>
      <w:bookmarkStart w:id="3" w:name="zralost3"/>
      <w:bookmarkEnd w:id="3"/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3. Řeč</w:t>
      </w:r>
    </w:p>
    <w:p w14:paraId="0FE98F91" w14:textId="77777777" w:rsidR="00CE3A46" w:rsidRPr="00CE3A46" w:rsidRDefault="00CE3A46" w:rsidP="0055697D">
      <w:pPr>
        <w:spacing w:after="150" w:line="240" w:lineRule="auto"/>
        <w:jc w:val="both"/>
        <w:rPr>
          <w:rFonts w:eastAsia="Times New Roman" w:cstheme="minorHAnsi"/>
          <w:color w:val="2C2C2C"/>
          <w:sz w:val="28"/>
          <w:szCs w:val="28"/>
          <w:lang w:eastAsia="cs-CZ"/>
        </w:rPr>
      </w:pP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Předpokladem zahájení školní docházky je 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srozumitelná výslovnost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>, vada výslovnosti jedné či dvou hlásek však nejsou vždy nutně předpokladem odložení docházky, je nutné se však poradit s odborníkem. Nesprávná výslovnost nebo výraznější artikulační neobratnost může ovlivnit nácvik v oblasti čtení i psaní.</w:t>
      </w:r>
    </w:p>
    <w:p w14:paraId="0E356C78" w14:textId="77777777" w:rsidR="00CE3A46" w:rsidRPr="00CE3A46" w:rsidRDefault="00CE3A46" w:rsidP="0055697D">
      <w:pPr>
        <w:spacing w:after="150" w:line="240" w:lineRule="auto"/>
        <w:jc w:val="both"/>
        <w:rPr>
          <w:rFonts w:eastAsia="Times New Roman" w:cstheme="minorHAnsi"/>
          <w:color w:val="2C2C2C"/>
          <w:sz w:val="28"/>
          <w:szCs w:val="28"/>
          <w:lang w:eastAsia="cs-CZ"/>
        </w:rPr>
      </w:pP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Dále je třeba dostatečně 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rozvinutá slovní zásoba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, dítě by mělo být schopno mluvit v rozvinutých větách a souvětích bez výraznějších obtíží ve skladbě věty či 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lastRenderedPageBreak/>
        <w:t xml:space="preserve">tvarech slov, většinou již správně gramaticky. Řekne si o to, co potřebuje, vyjádří děj, spontánně </w:t>
      </w:r>
      <w:proofErr w:type="gramStart"/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>povypráví</w:t>
      </w:r>
      <w:proofErr w:type="gramEnd"/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 co se dělo ve školce, u babičky, řekne básničku nebo zazpívá písničku apod.</w:t>
      </w:r>
    </w:p>
    <w:p w14:paraId="328EF350" w14:textId="77777777" w:rsidR="00CE3A46" w:rsidRPr="00CE3A46" w:rsidRDefault="00CE3A46" w:rsidP="0055697D">
      <w:pPr>
        <w:spacing w:before="300" w:after="150" w:line="240" w:lineRule="auto"/>
        <w:jc w:val="both"/>
        <w:outlineLvl w:val="1"/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</w:pPr>
      <w:bookmarkStart w:id="4" w:name="zralost4"/>
      <w:bookmarkEnd w:id="4"/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4. Pozornost a pracovní návyky</w:t>
      </w:r>
    </w:p>
    <w:p w14:paraId="311914FC" w14:textId="77777777" w:rsidR="00CE3A46" w:rsidRPr="00CE3A46" w:rsidRDefault="00CE3A46" w:rsidP="0055697D">
      <w:pPr>
        <w:spacing w:after="0" w:line="240" w:lineRule="auto"/>
        <w:jc w:val="both"/>
        <w:rPr>
          <w:rFonts w:eastAsia="Times New Roman" w:cstheme="minorHAnsi"/>
          <w:color w:val="2C2C2C"/>
          <w:sz w:val="28"/>
          <w:szCs w:val="28"/>
          <w:lang w:eastAsia="cs-CZ"/>
        </w:rPr>
      </w:pP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Dítě by mělo být schopné 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 xml:space="preserve">vydržet pracovat </w:t>
      </w:r>
      <w:proofErr w:type="gramStart"/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10 - 15</w:t>
      </w:r>
      <w:proofErr w:type="gramEnd"/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 xml:space="preserve"> minut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>, zůstat u úkolu a dokončit ho i v případě, že ho příliš nebaví. Mělo by zvládnout naslouchat vyprávění druhého, vydržet na místě, sledovat instrukce k činnosti a vyslechnout je až do konce.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br/>
        <w:t xml:space="preserve">V předškolním věku již dítě pracuje na jednotlivých úkolech 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více usilovně a pečlivě, záleží mu na výsledku a následném ocenění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. Je schopno pokračovat v práci i v případě drobných nezdarů. 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Dokáže již pracovat kratší dobu samostatně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>, bez individuálního vedení a pomoci dospělého.</w:t>
      </w:r>
    </w:p>
    <w:p w14:paraId="2A46E7FB" w14:textId="77777777" w:rsidR="00CE3A46" w:rsidRPr="00CE3A46" w:rsidRDefault="00CE3A46" w:rsidP="0055697D">
      <w:pPr>
        <w:spacing w:before="300" w:after="150" w:line="240" w:lineRule="auto"/>
        <w:jc w:val="both"/>
        <w:outlineLvl w:val="1"/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</w:pPr>
      <w:bookmarkStart w:id="5" w:name="zralost5"/>
      <w:bookmarkEnd w:id="5"/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5. Rozumové předpoklady</w:t>
      </w:r>
    </w:p>
    <w:p w14:paraId="7D3E5941" w14:textId="77777777" w:rsidR="00CE3A46" w:rsidRPr="00CE3A46" w:rsidRDefault="00CE3A46" w:rsidP="0055697D">
      <w:pPr>
        <w:spacing w:after="150" w:line="240" w:lineRule="auto"/>
        <w:jc w:val="both"/>
        <w:rPr>
          <w:rFonts w:eastAsia="Times New Roman" w:cstheme="minorHAnsi"/>
          <w:color w:val="2C2C2C"/>
          <w:sz w:val="28"/>
          <w:szCs w:val="28"/>
          <w:lang w:eastAsia="cs-CZ"/>
        </w:rPr>
      </w:pP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Do této oblasti patří zejména vědomosti, znalosti, intelektové schopnosti. Dítě by mělo zvládnout pojmenovat věci běžné potřeby, zvířata, barvy, základní geometrické tvary, chápat posloupnost dnů, základní 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pojmy týkající se času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 (den-noc, části dne, včera, dnes, zítra, den, týden, měsíc, rok, roční období), 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 xml:space="preserve">orientovat se v prostoru 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(nahoře, dole, vlevo, vpravo, daleko, blízko, pod, nad, před, za, </w:t>
      </w:r>
      <w:proofErr w:type="gramStart"/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>mezi,…</w:t>
      </w:r>
      <w:proofErr w:type="gramEnd"/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>), orientovat se na vlastním těle.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 xml:space="preserve"> V předmatematických představách 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>již posoudí množství, velikost, případně pořadí, odpočítá předměty, orientuje se přibližně v oboru do 6, hraje bez výraznějších obtíží domino s puntíky a člověče nezlob se. Chápe již, jak se tvoří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 xml:space="preserve"> protiklady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 (</w:t>
      </w:r>
      <w:proofErr w:type="spellStart"/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>malý-velký</w:t>
      </w:r>
      <w:proofErr w:type="spellEnd"/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), 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nerovnosti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 (vyšší než - kratší než), 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stupňování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 (nízký- nižší – nejnižší), shodnost (stejný, tak velký jako).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br/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br/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 xml:space="preserve">Zraková percepce 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>- zrakem odliší nestejné obrázky (dle velikosti, tvaru, případně natočení v prostoru), vyhledá dvojici stejných obrázků, najde rozdíly, zvládne hrát pexeso.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br/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br/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Sluchová percepce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 - dokáže roztleskat slovo na slabiky (vnímá rytmus slova), pojmenuje první hlásku ve slově, případně pozná poslední písmenko u jednodušších slov. Posoudí, jestli jsou dvě slova stejná nebo jiná, vyhledá a vytvoří rým. Dítě je schopno si zapamatovat řadu slov, krátkou básničku, říkanku, doplnit vámi vyprávěnou pohádku, pamatuje si základní domluvená pravidla.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br/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br/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 xml:space="preserve">Hmatové </w:t>
      </w:r>
      <w:proofErr w:type="gramStart"/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 xml:space="preserve">vnímání 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>- hmatem</w:t>
      </w:r>
      <w:proofErr w:type="gramEnd"/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 rozpozná předměty podle jejich tvaru, vlastností, je schopno je podle hmatu třídit.</w:t>
      </w:r>
    </w:p>
    <w:p w14:paraId="5BF300FB" w14:textId="77777777" w:rsidR="00CE3A46" w:rsidRPr="00CE3A46" w:rsidRDefault="00CE3A46" w:rsidP="0055697D">
      <w:pPr>
        <w:spacing w:before="300" w:after="150" w:line="240" w:lineRule="auto"/>
        <w:jc w:val="both"/>
        <w:outlineLvl w:val="1"/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</w:pPr>
      <w:bookmarkStart w:id="6" w:name="zralost6"/>
      <w:bookmarkEnd w:id="6"/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lastRenderedPageBreak/>
        <w:t>6. Emoční zralost, sociální zralost, sebeobsluha, samostatnost</w:t>
      </w:r>
    </w:p>
    <w:p w14:paraId="14798C75" w14:textId="77777777" w:rsidR="00CE3A46" w:rsidRPr="00CE3A46" w:rsidRDefault="00CE3A46" w:rsidP="0055697D">
      <w:pPr>
        <w:spacing w:after="150" w:line="240" w:lineRule="auto"/>
        <w:jc w:val="both"/>
        <w:rPr>
          <w:rFonts w:eastAsia="Times New Roman" w:cstheme="minorHAnsi"/>
          <w:color w:val="2C2C2C"/>
          <w:sz w:val="28"/>
          <w:szCs w:val="28"/>
          <w:lang w:eastAsia="cs-CZ"/>
        </w:rPr>
      </w:pP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Dítě je schopno 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odloučit se bez výraznějších obtíží od rodičů, pracovat samostatně bez jejich přítomnosti, začlenit se do kolektivu vrstevníků, navazovat komunikaci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. Zřejmá musí být jistá míra odolnosti – můžeme posoudit např., jak se vyrovnává s prohrou nebo překážkami stojícími v cestě k jeho cíli, jak se vyrovnává se změnami, jak se adaptuje na nové prostředí, jak je schopno 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komunikovat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 s novými lidmi. Užitečné je sledovat, jak se vaše dítě chová k paní učitelce v MŠ (jak moc lpí na učitelce a dožaduje se její pozornosti, jak se podřizuje požadavkům, míra plachosti, nesmělosti, jak si umí říct o pomoc) a také k ostatním dětem (přizpůsobivost při hře, kooperace, schopnost rozdělit se, pomáhat mladším, aktivita, trpělivost, jestli umí ustoupit, jestli se umí prosadit, jak řeší konfliktní situace,….).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br/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br/>
        <w:t xml:space="preserve">V oblasti 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sebeobsluhy a samostatnosti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 by dítě mělo být schopno </w:t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samo se obléknout a obout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>, zvládne základní osobní hygienu, uklidí si po sobě po jídle, po hře, apod. V této oblasti hraje významnou roli rodinná výchova a to, k čemu je doma dítě vedeno.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br/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br/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 xml:space="preserve">Sociálně zralé dítě 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>navazuje kontakty s vrstevníky, umí si s nimi přiměřeně hrát, je však schopno si hrát i samostatně. Rozdělí se, zvládá základní pravidla slušného chování - pozdravit, rozloučit se, poprosit, poděkovat, neskákat do řeči, počkat až na něj přijde řada, respektovat pravidla hry, chovat se přiměřeně situaci (v obchodě, u lékaře, mezi dětmi na hřišti, u jídla, na návštěvě,…), odliší postavení autority od kamaráda, chápe, že nemusí mít všichni stejný názor na věc a snaží se to respektovat, vyrovná se s prohrou nebo případným neúspěchem.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br/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br/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Většina dětí se do školy těší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>, i když jsou samozřejmě i výjimky. Vztah ke škole a motivace dítěte se výraznou měrou tvoří právě v předškolním roce v MŠ a jsou ovlivněny výchovou a rodinným stylem. Pokud má dítě staršího sourozence, jistě již před vstupem do školy tuší, co jej čeká a jeho postoj se může odvíjet i od postoje staršího brášky nebo sestřičky (v pozitivním i negativním slova smyslu).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br/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br/>
      </w:r>
      <w:r w:rsidRPr="00CE3A46">
        <w:rPr>
          <w:rFonts w:eastAsia="Times New Roman" w:cstheme="minorHAnsi"/>
          <w:b/>
          <w:bCs/>
          <w:color w:val="2C2C2C"/>
          <w:sz w:val="28"/>
          <w:szCs w:val="28"/>
          <w:lang w:eastAsia="cs-CZ"/>
        </w:rPr>
        <w:t>Šestileté dítě se vyvíjí velmi rychle, co nezvládne v době zápisu do školy, může zvládnout již dva měsíce na to.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t xml:space="preserve"> Záleží především na vás, rodičích, kolik času věnujete svému dítěti – hře, povídání si s ním, společným aktivitám, ale také seznámení se školou a školními povinnostmi. Děti jsou přirozeně zvídavé, mají tendenci se učit a poznávat svět i nové věci kolem sebe. Do školy si pak přinášejí nejen své vrozené schopnosti, ale i to, co jste do nich vložili vy, rodiče.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br/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br/>
        <w:t xml:space="preserve">Dítě, které je dobře vedené a na nástup do školy zralé a připravené, má výborný </w:t>
      </w:r>
      <w:r w:rsidRPr="00CE3A46">
        <w:rPr>
          <w:rFonts w:eastAsia="Times New Roman" w:cstheme="minorHAnsi"/>
          <w:color w:val="2C2C2C"/>
          <w:sz w:val="28"/>
          <w:szCs w:val="28"/>
          <w:lang w:eastAsia="cs-CZ"/>
        </w:rPr>
        <w:lastRenderedPageBreak/>
        <w:t>předpoklad k tomu, že škola bude pro něj především zdrojem nových informací, radosti z poznání, místem pro navazování nových přátelství a možností jeho rozvoje.</w:t>
      </w:r>
    </w:p>
    <w:bookmarkEnd w:id="1"/>
    <w:p w14:paraId="44110594" w14:textId="77777777" w:rsidR="00CE3A46" w:rsidRPr="0055697D" w:rsidRDefault="00CE3A46" w:rsidP="0055697D">
      <w:pPr>
        <w:jc w:val="both"/>
        <w:rPr>
          <w:rFonts w:cstheme="minorHAnsi"/>
          <w:sz w:val="28"/>
          <w:szCs w:val="28"/>
        </w:rPr>
      </w:pPr>
    </w:p>
    <w:sectPr w:rsidR="00CE3A46" w:rsidRPr="0055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46"/>
    <w:rsid w:val="0055697D"/>
    <w:rsid w:val="00C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B5B2"/>
  <w15:chartTrackingRefBased/>
  <w15:docId w15:val="{7A5B361A-7A37-4B88-8E4F-CD9BDC7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1094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Kupková</dc:creator>
  <cp:keywords/>
  <dc:description/>
  <cp:lastModifiedBy>Andrea Kupková</cp:lastModifiedBy>
  <cp:revision>1</cp:revision>
  <dcterms:created xsi:type="dcterms:W3CDTF">2020-03-30T13:45:00Z</dcterms:created>
  <dcterms:modified xsi:type="dcterms:W3CDTF">2020-03-30T14:16:00Z</dcterms:modified>
</cp:coreProperties>
</file>